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723CA" w:rsidRDefault="00B723CA">
      <w:pPr>
        <w:spacing w:line="240" w:lineRule="auto"/>
        <w:rPr>
          <w:rFonts w:ascii="Times New Roman" w:hAnsi="Times New Roman" w:cs="Times New Roman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pt;margin-top:14.45pt;width:276pt;height:108.5pt;z-index:251654656" filled="f" stroked="f">
            <v:textbox style="mso-next-textbox:#_x0000_s1026">
              <w:txbxContent>
                <w:p w:rsidR="00B723CA" w:rsidRDefault="00B723CA">
                  <w:pPr>
                    <w:spacing w:line="360" w:lineRule="auto"/>
                    <w:jc w:val="left"/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</w:rPr>
                    <w:t xml:space="preserve">Kvarta spol. s r.o., </w:t>
                  </w:r>
                </w:p>
                <w:p w:rsidR="00B723CA" w:rsidRDefault="00B723CA">
                  <w:pPr>
                    <w:spacing w:line="360" w:lineRule="auto"/>
                    <w:jc w:val="left"/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</w:rPr>
                    <w:t xml:space="preserve">zast. Jiřím Daňkem - projektantem;  </w:t>
                  </w:r>
                </w:p>
                <w:p w:rsidR="00B723CA" w:rsidRDefault="00B723CA">
                  <w:pPr>
                    <w:spacing w:line="360" w:lineRule="auto"/>
                    <w:jc w:val="left"/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</w:rPr>
                    <w:t xml:space="preserve">Dolní 222, 565 01 Choceň, IČ 135 827 47    </w:t>
                  </w:r>
                </w:p>
                <w:p w:rsidR="00B723CA" w:rsidRDefault="00B723CA">
                  <w:pPr>
                    <w:spacing w:line="360" w:lineRule="auto"/>
                    <w:ind w:firstLine="709"/>
                    <w:jc w:val="left"/>
                  </w:pPr>
                  <w:r>
                    <w:rPr>
                      <w:b/>
                      <w:bCs/>
                      <w:color w:val="0000FF"/>
                    </w:rPr>
                    <w:t>email:</w:t>
                  </w:r>
                  <w:r>
                    <w:t xml:space="preserve"> </w:t>
                  </w:r>
                  <w:hyperlink r:id="rId7" w:history="1">
                    <w:r>
                      <w:rPr>
                        <w:rStyle w:val="Hyperlink"/>
                        <w:rFonts w:ascii="Arial" w:hAnsi="Arial" w:cs="Arial"/>
                      </w:rPr>
                      <w:t>danekj@wo.cz</w:t>
                    </w:r>
                  </w:hyperlink>
                  <w:r>
                    <w:t xml:space="preserve">    </w:t>
                  </w:r>
                </w:p>
                <w:p w:rsidR="00B723CA" w:rsidRDefault="00B723CA">
                  <w:pPr>
                    <w:spacing w:line="360" w:lineRule="auto"/>
                    <w:ind w:firstLine="709"/>
                    <w:jc w:val="left"/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</w:rPr>
                    <w:t>tel: 775 111 340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Textové pole 1" o:spid="_x0000_s1027" type="#_x0000_t202" style="position:absolute;left:0;text-align:left;margin-left:0;margin-top:.05pt;width:240pt;height:123.45pt;z-index:251653632;visibility:visible;mso-position-horizontal:left;mso-position-horizontal-relative:margin" fillcolor="window" strokeweight=".5pt">
            <v:path arrowok="t"/>
            <v:textbox>
              <w:txbxContent>
                <w:p w:rsidR="00B723CA" w:rsidRDefault="00B723CA">
                  <w:pPr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</w:rPr>
                    <w:t>Žadatel:</w:t>
                  </w:r>
                </w:p>
                <w:p w:rsidR="00B723CA" w:rsidRDefault="00B723CA">
                  <w:pPr>
                    <w:spacing w:before="120" w:line="240" w:lineRule="auto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…………………………………………….</w:t>
                  </w:r>
                </w:p>
                <w:p w:rsidR="00B723CA" w:rsidRDefault="00B723CA">
                  <w:pPr>
                    <w:spacing w:before="120" w:line="240" w:lineRule="auto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…………………………………………….</w:t>
                  </w:r>
                </w:p>
                <w:p w:rsidR="00B723CA" w:rsidRDefault="00B723CA">
                  <w:pPr>
                    <w:spacing w:before="120" w:line="240" w:lineRule="auto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…………………………………………….</w:t>
                  </w:r>
                </w:p>
                <w:p w:rsidR="00B723CA" w:rsidRDefault="00B723CA">
                  <w:pPr>
                    <w:spacing w:before="120" w:line="240" w:lineRule="auto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e-mail: ………………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..</w:t>
                  </w:r>
                  <w:r>
                    <w:rPr>
                      <w:sz w:val="24"/>
                      <w:szCs w:val="24"/>
                    </w:rPr>
                    <w:t>………………….</w:t>
                  </w:r>
                </w:p>
                <w:p w:rsidR="00B723CA" w:rsidRDefault="00B723CA">
                  <w:pPr>
                    <w:spacing w:before="120" w:line="240" w:lineRule="auto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telefon: .………………………………….</w:t>
                  </w:r>
                </w:p>
              </w:txbxContent>
            </v:textbox>
            <w10:wrap type="topAndBottom" anchorx="margin"/>
            <w10:anchorlock/>
          </v:shape>
        </w:pict>
      </w:r>
    </w:p>
    <w:p w:rsidR="00B723CA" w:rsidRDefault="00B723CA">
      <w:pPr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Adresát:</w:t>
      </w:r>
    </w:p>
    <w:p w:rsidR="00B723CA" w:rsidRDefault="00B723CA">
      <w:pPr>
        <w:spacing w:line="240" w:lineRule="auto"/>
        <w:jc w:val="left"/>
        <w:rPr>
          <w:rFonts w:ascii="Times New Roman" w:hAnsi="Times New Roman" w:cs="Times New Roman"/>
        </w:rPr>
      </w:pPr>
      <w:r>
        <w:rPr>
          <w:b/>
          <w:bCs/>
        </w:rPr>
        <w:t>Městský úřad Vysoké Mýto</w:t>
      </w:r>
      <w:r>
        <w:br/>
        <w:t>odbor stavebního úřadu a územního plánování</w:t>
      </w:r>
    </w:p>
    <w:p w:rsidR="00B723CA" w:rsidRDefault="00B723CA">
      <w:pPr>
        <w:spacing w:line="240" w:lineRule="auto"/>
      </w:pPr>
      <w:r>
        <w:t>B. Smetany 92</w:t>
      </w:r>
    </w:p>
    <w:p w:rsidR="00B723CA" w:rsidRDefault="00B723CA">
      <w:pPr>
        <w:spacing w:line="240" w:lineRule="auto"/>
      </w:pPr>
      <w:r>
        <w:t>566 01  VYSOKÉ MÝTO</w:t>
      </w:r>
    </w:p>
    <w:p w:rsidR="00B723CA" w:rsidRDefault="00B723CA">
      <w:pPr>
        <w:spacing w:line="240" w:lineRule="auto"/>
      </w:pPr>
    </w:p>
    <w:p w:rsidR="00B723CA" w:rsidRDefault="00B723CA">
      <w:pPr>
        <w:pStyle w:val="List"/>
        <w:spacing w:after="0" w:line="240" w:lineRule="auto"/>
        <w:rPr>
          <w:rFonts w:ascii="Times New Roman" w:hAnsi="Times New Roman" w:cs="Times New Roman"/>
        </w:rPr>
      </w:pPr>
    </w:p>
    <w:p w:rsidR="00B723CA" w:rsidRDefault="00B723CA">
      <w:pPr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ŽÁDOST</w:t>
      </w:r>
    </w:p>
    <w:p w:rsidR="00B723CA" w:rsidRDefault="00B723CA">
      <w:pPr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pStyle w:val="Normln-6b"/>
        <w:rPr>
          <w:rFonts w:ascii="Times New Roman" w:hAnsi="Times New Roman" w:cs="Times New Roman"/>
        </w:rPr>
      </w:pPr>
      <w:r>
        <w:t>Žádáme tímto o závazné stanovisko dle § 96b zák. č. 183/2006 Sb. o územním plánování a stavebním řádu ve znění pozdějších předpisů (dále pouze stavební zákon) k záměru</w:t>
      </w:r>
    </w:p>
    <w:p w:rsidR="00B723CA" w:rsidRDefault="00B723CA">
      <w:pPr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cs-CZ"/>
        </w:rPr>
        <w:pict>
          <v:shape id="_x0000_s1028" type="#_x0000_t202" style="position:absolute;left:0;text-align:left;margin-left:-6pt;margin-top:-6.3pt;width:505.45pt;height:51.6pt;z-index:251655680" filled="f" stroked="f">
            <v:textbox>
              <w:txbxContent>
                <w:p w:rsidR="00B723CA" w:rsidRDefault="00B723CA">
                  <w:pPr>
                    <w:spacing w:line="240" w:lineRule="auto"/>
                    <w:rPr>
                      <w:b/>
                      <w:bCs/>
                      <w:color w:val="0000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FF"/>
                      <w:sz w:val="24"/>
                      <w:szCs w:val="24"/>
                    </w:rPr>
                    <w:t>STAVEBNÍ ÚPRAVY č.p. 167 - PO SCHODIŠTĚ ZÁPAD</w:t>
                  </w:r>
                </w:p>
                <w:p w:rsidR="00B723CA" w:rsidRDefault="00B723CA">
                  <w:pPr>
                    <w:spacing w:line="240" w:lineRule="auto"/>
                    <w:rPr>
                      <w:b/>
                      <w:bCs/>
                      <w:color w:val="0000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FF"/>
                      <w:sz w:val="24"/>
                      <w:szCs w:val="24"/>
                    </w:rPr>
                    <w:t>a PBŘ (požárně bezpečnostní řešení) CELÉ BUDOVY</w:t>
                  </w:r>
                </w:p>
                <w:p w:rsidR="00B723CA" w:rsidRDefault="00B723CA">
                  <w:pPr>
                    <w:spacing w:line="240" w:lineRule="auto"/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  <w:sz w:val="24"/>
                      <w:szCs w:val="24"/>
                    </w:rPr>
                    <w:t>ul. Hradecká č.p. 167 56601 VYSOKÉ MÝTO … parcela p.č.st. 1985/3</w:t>
                  </w:r>
                </w:p>
              </w:txbxContent>
            </v:textbox>
            <w10:anchorlock/>
          </v:shape>
        </w:pict>
      </w:r>
      <w:r>
        <w:rPr>
          <w:sz w:val="24"/>
          <w:szCs w:val="24"/>
        </w:rPr>
        <w:t>…………………………………………………………………………………….</w:t>
      </w:r>
      <w:r>
        <w:rPr>
          <w:sz w:val="24"/>
          <w:szCs w:val="24"/>
        </w:rPr>
        <w:br/>
        <w:t>…………………………………………………………………………………….</w:t>
      </w: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t>Závazné stanovisko bude sloužit jako povinná příloha žádosti o:</w:t>
      </w:r>
      <w:r>
        <w:rPr>
          <w:rFonts w:ascii="Times New Roman" w:hAnsi="Times New Roman" w:cs="Times New Roman"/>
        </w:rPr>
        <w:br/>
      </w:r>
      <w:r>
        <w:rPr>
          <w:sz w:val="16"/>
          <w:szCs w:val="16"/>
        </w:rPr>
        <w:t>zaškrtněte rozhodnutí dle stavebního zákona, o které budete žádat místně příslušný stavební úřad (výčet obsahuje všechna řízení, pro která se závazná stanoviska dle § 96b stavebního zákona vydávají)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rozhodnutí o umístění stavby nebo zařízení (§ 79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rozhodnutí o změně využití území (§ 80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rozhodnutí o změně vlivu užívání stavby na území (§ 81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rozhodnutí o dělení nebo scelování pozemků (§ 82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rozhodnutí o ochranném pásmu (§ 83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veřejnoprávní smlouvu o umístění stavby (§ 78a a § 79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veřejnoprávní smlouvu o změně využití území (§ 78a a § 80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veřejnoprávní smlouvu o změně vlivu užívání stavby na území (§ 78a a § 81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souhlas o umístění staveb a jejich změn (stavebních záměrů uvedených v § 103 stavebního zákona při splnění podmínek podle § 96 odst. 1 stavebního zákona), s výjimkou záměrů v zastavěném území nebo v zastavitelné ploše uvedených v § 103 odst. 1 stavebního zákona, které posuzuje stavební úřad (§ 90 odst. 2 a § 96b odst. 1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noProof/>
          <w:lang w:eastAsia="cs-CZ"/>
        </w:rPr>
        <w:pict>
          <v:shape id="_x0000_s1029" type="#_x0000_t202" style="position:absolute;left:0;text-align:left;margin-left:-30pt;margin-top:-177.8pt;width:27pt;height:27pt;z-index:251660800" filled="f" stroked="f">
            <v:textbox>
              <w:txbxContent>
                <w:p w:rsidR="00B723CA" w:rsidRDefault="00B723CA">
                  <w:pPr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</w:rPr>
                    <w:t>X</w:t>
                  </w:r>
                </w:p>
              </w:txbxContent>
            </v:textbox>
            <w10:anchorlock/>
          </v:shape>
        </w:pict>
      </w:r>
      <w:r>
        <w:rPr>
          <w:noProof/>
          <w:lang w:eastAsia="cs-CZ"/>
        </w:rPr>
        <w:pict>
          <v:shape id="_x0000_s1030" type="#_x0000_t202" style="position:absolute;left:0;text-align:left;margin-left:-30pt;margin-top:-.6pt;width:27pt;height:27pt;z-index:251659776" filled="f" stroked="f">
            <v:textbox>
              <w:txbxContent>
                <w:p w:rsidR="00B723CA" w:rsidRDefault="00B723CA">
                  <w:pPr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</w:rPr>
                    <w:t>X</w:t>
                  </w:r>
                </w:p>
              </w:txbxContent>
            </v:textbox>
            <w10:anchorlock/>
          </v:shape>
        </w:pict>
      </w: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souhlas o umístění ohlašovaných staveb a jejich změn (stavebních záměrů uvedených v § 104 stavebního zákona při splnění podmínek podle § 96 odst. 1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souhlas o umístění stavby – změny všech staveb [§ 96 odst. 2 písm. c) stavebního zákona při splnění podmínek podle § 96 odst. 1 stavebního zákona],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souhlas o umístění stavby [všech staveb umisťovaných v ohraničených prostorech podle § 96 odst. 2 písm. e) stavebního zákona a za splnění podmínek podle § 96 odst. 1 stavebního zákona],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souhlas o změně využití území [změna druhu pozemku podle § 96 odst. 2 písm. d) stavebního zákona, terénní úpravy podle § 96 odst. 2 písm. f) stavebního zákona a odstavné a další plochy podle § 96 odst. 2 písm. g) stavebního zákona],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společný územní souhlas a souhlas s provedením ohlášeného stavebního záměru (§ 104 odst. 1 a 2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územní rozhodnutí o umístění stavby, o změně využití území, o změně vlivu užívání stavby na území a o dělení a scelování pozemků vydávaná ve zjednodušeném územním řízení (§ 95 stavebního zákona).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společné povolení (§ 94j a násl. stavebního zákona a § 94q a násl.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souhlas se změnou v užívání stavby (§ 127 odst. 2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povolení ke změně v užívání stavby (§ 127 odst. 4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dodatečné povolení stavby (§ 129 odst. 2 a 3 stavebního zákona, s výjimkou staveb podle § 103 odst. 1 v zastavěném území a v zastavitelné ploše),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povolení stavby v opakovaném stavebním řízení (§ 129 odst. 5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povolení změny užívání dočasné stavby nebo změny na stavbu trvalou (§ 129 odst. 6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dodatečné povolení terénních úprav a zařízení (§ 129 odst. 7 stavebního zákona),</w:t>
      </w:r>
    </w:p>
    <w:p w:rsidR="00B723CA" w:rsidRDefault="00B723CA">
      <w:pPr>
        <w:tabs>
          <w:tab w:val="left" w:pos="284"/>
        </w:tabs>
        <w:spacing w:before="60" w:line="240" w:lineRule="auto"/>
        <w:ind w:left="284" w:hanging="284"/>
        <w:rPr>
          <w:sz w:val="20"/>
          <w:szCs w:val="20"/>
        </w:rPr>
      </w:pPr>
      <w:r>
        <w:rPr>
          <w:rFonts w:ascii="MS Gothic" w:eastAsia="MS Gothic" w:hAnsi="MS Gothic" w:cs="MS Gothic" w:hint="eastAsia"/>
          <w:sz w:val="20"/>
          <w:szCs w:val="20"/>
        </w:rPr>
        <w:t>☐</w:t>
      </w:r>
      <w:r>
        <w:rPr>
          <w:sz w:val="20"/>
          <w:szCs w:val="20"/>
        </w:rPr>
        <w:tab/>
        <w:t>povolení stavby speciálním stavebním úřadem, jestliže se nevydává územní rozhodnutí ani územní souhlas (§ 15 odst. 2 stavebního zákona).</w:t>
      </w: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  <w:r>
        <w:rPr>
          <w:noProof/>
          <w:lang w:eastAsia="cs-CZ"/>
        </w:rPr>
        <w:pict>
          <v:shape id="_x0000_s1031" type="#_x0000_t202" style="position:absolute;left:0;text-align:left;margin-left:18pt;margin-top:279.1pt;width:336pt;height:54.55pt;z-index:251661824" filled="f" stroked="f">
            <v:textbox>
              <w:txbxContent>
                <w:p w:rsidR="00B723CA" w:rsidRDefault="00B723CA">
                  <w:pPr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</w:rPr>
                    <w:t>Projektová dokumentace;  zasláno  emailem</w:t>
                  </w:r>
                </w:p>
              </w:txbxContent>
            </v:textbox>
            <w10:anchorlock/>
          </v:shape>
        </w:pict>
      </w:r>
      <w:r>
        <w:rPr>
          <w:noProof/>
          <w:lang w:eastAsia="cs-CZ"/>
        </w:rPr>
        <w:pict>
          <v:shape id="_x0000_s1032" type="#_x0000_t202" style="position:absolute;left:0;text-align:left;margin-left:36pt;margin-top:5.9pt;width:2in;height:54.55pt;z-index:251656704" filled="f" stroked="f">
            <v:textbox>
              <w:txbxContent>
                <w:p w:rsidR="00B723CA" w:rsidRDefault="00B723CA">
                  <w:pPr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</w:rPr>
                    <w:t>Chocni</w:t>
                  </w:r>
                </w:p>
                <w:p w:rsidR="00B723CA" w:rsidRDefault="00B723CA">
                  <w:pPr>
                    <w:rPr>
                      <w:b/>
                      <w:bCs/>
                      <w:color w:val="0000FF"/>
                    </w:rPr>
                  </w:pPr>
                  <w:r>
                    <w:rPr>
                      <w:b/>
                      <w:bCs/>
                      <w:color w:val="0000FF"/>
                    </w:rPr>
                    <w:t>31.08. 2022</w:t>
                  </w:r>
                </w:p>
              </w:txbxContent>
            </v:textbox>
            <w10:anchorlock/>
          </v:shape>
        </w:pict>
      </w:r>
    </w:p>
    <w:p w:rsidR="00B723CA" w:rsidRDefault="00B723CA">
      <w:pPr>
        <w:tabs>
          <w:tab w:val="left" w:pos="567"/>
        </w:tabs>
        <w:spacing w:line="360" w:lineRule="auto"/>
        <w:rPr>
          <w:rFonts w:ascii="Times New Roman" w:hAnsi="Times New Roman" w:cs="Times New Roman"/>
        </w:rPr>
      </w:pPr>
      <w:r>
        <w:t>ve</w:t>
      </w:r>
      <w:r>
        <w:rPr>
          <w:rFonts w:ascii="Times New Roman" w:hAnsi="Times New Roman" w:cs="Times New Roman"/>
        </w:rPr>
        <w:tab/>
      </w:r>
      <w:r>
        <w:t>…………………………….</w:t>
      </w:r>
      <w:r>
        <w:br/>
        <w:t>dne</w:t>
      </w:r>
      <w:r>
        <w:tab/>
        <w:t>…………………………….</w:t>
      </w: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in;margin-top:36.45pt;width:152.35pt;height:55.25pt;z-index:251658752">
            <v:imagedata r:id="rId8" o:title=""/>
            <w10:anchorlock/>
          </v:shape>
          <o:OLEObject Type="Embed" ProgID="MSPhotoEd.3" ShapeID="_x0000_s1033" DrawAspect="Content" ObjectID="_1723453554" r:id="rId9"/>
        </w:pict>
      </w:r>
      <w:r>
        <w:rPr>
          <w:noProof/>
          <w:lang w:eastAsia="cs-CZ"/>
        </w:rPr>
        <w:pict>
          <v:shape id="_x0000_s1034" type="#_x0000_t75" style="position:absolute;left:0;text-align:left;margin-left:1in;margin-top:10.45pt;width:105.15pt;height:40.95pt;z-index:251657728;mso-wrap-edited:f">
            <v:imagedata r:id="rId10" o:title=""/>
            <w10:anchorlock/>
          </v:shape>
        </w:pict>
      </w: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  <w:tab w:val="left" w:pos="4536"/>
        </w:tabs>
        <w:spacing w:line="240" w:lineRule="auto"/>
      </w:pPr>
      <w:r>
        <w:t>……………………………………………</w:t>
      </w:r>
    </w:p>
    <w:p w:rsidR="00B723CA" w:rsidRDefault="00B723CA">
      <w:pPr>
        <w:tabs>
          <w:tab w:val="left" w:pos="448"/>
          <w:tab w:val="left" w:pos="4536"/>
        </w:tabs>
        <w:spacing w:line="240" w:lineRule="auto"/>
        <w:rPr>
          <w:rFonts w:ascii="Times New Roman" w:hAnsi="Times New Roman" w:cs="Times New Roman"/>
        </w:rPr>
      </w:pPr>
      <w:r>
        <w:t>podpis žadatele</w:t>
      </w: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</w:rPr>
      </w:pPr>
    </w:p>
    <w:p w:rsidR="00B723CA" w:rsidRDefault="00B723CA">
      <w:pPr>
        <w:tabs>
          <w:tab w:val="left" w:pos="448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t>Příloha</w:t>
      </w:r>
      <w:r>
        <w:br/>
      </w:r>
      <w:r>
        <w:rPr>
          <w:sz w:val="16"/>
          <w:szCs w:val="16"/>
        </w:rPr>
        <w:t>uveďte seznam příloh žádosti o závazné stanovisko – minimálně dokumentace, která bude připojena k</w:t>
      </w:r>
      <w:r>
        <w:rPr>
          <w:rFonts w:ascii="Times New Roman" w:hAnsi="Times New Roman" w:cs="Times New Roman"/>
          <w:sz w:val="16"/>
          <w:szCs w:val="16"/>
        </w:rPr>
        <w:t> </w:t>
      </w:r>
      <w:r>
        <w:rPr>
          <w:sz w:val="16"/>
          <w:szCs w:val="16"/>
        </w:rPr>
        <w:t>výše označené žádosti o příslušné rozhodnutí dle stavebního zákona</w:t>
      </w:r>
    </w:p>
    <w:p w:rsidR="00B723CA" w:rsidRDefault="00B723CA">
      <w:pPr>
        <w:tabs>
          <w:tab w:val="left" w:pos="448"/>
        </w:tabs>
        <w:spacing w:before="240" w:line="360" w:lineRule="auto"/>
      </w:pPr>
      <w:r>
        <w:t>……………………………………………………………………………………………………………</w:t>
      </w:r>
    </w:p>
    <w:p w:rsidR="00B723CA" w:rsidRDefault="00B723CA">
      <w:pPr>
        <w:tabs>
          <w:tab w:val="left" w:pos="448"/>
        </w:tabs>
        <w:spacing w:line="360" w:lineRule="auto"/>
      </w:pPr>
      <w:r>
        <w:t>……………………………………………………………………………………………………………</w:t>
      </w:r>
    </w:p>
    <w:p w:rsidR="00B723CA" w:rsidRDefault="00B723CA">
      <w:pPr>
        <w:tabs>
          <w:tab w:val="left" w:pos="448"/>
        </w:tabs>
        <w:spacing w:line="360" w:lineRule="auto"/>
      </w:pPr>
      <w:r>
        <w:t>……………………………………………………………………………………………………………</w:t>
      </w:r>
    </w:p>
    <w:p w:rsidR="00B723CA" w:rsidRDefault="00B723CA">
      <w:pPr>
        <w:tabs>
          <w:tab w:val="left" w:pos="448"/>
        </w:tabs>
        <w:spacing w:line="360" w:lineRule="auto"/>
      </w:pPr>
      <w:r>
        <w:t>……………………………………………………………………………………………………………</w:t>
      </w:r>
    </w:p>
    <w:p w:rsidR="00B723CA" w:rsidRDefault="00B723CA">
      <w:pPr>
        <w:tabs>
          <w:tab w:val="left" w:pos="448"/>
        </w:tabs>
        <w:spacing w:line="360" w:lineRule="auto"/>
      </w:pPr>
      <w:r>
        <w:t>……………………………………………………………………………………………………………</w:t>
      </w:r>
    </w:p>
    <w:p w:rsidR="00B723CA" w:rsidRDefault="00B723CA">
      <w:pPr>
        <w:tabs>
          <w:tab w:val="left" w:pos="448"/>
        </w:tabs>
        <w:spacing w:line="360" w:lineRule="auto"/>
      </w:pPr>
      <w:r>
        <w:t>……………………………………………………………………………………………………………</w:t>
      </w:r>
    </w:p>
    <w:p w:rsidR="00B723CA" w:rsidRDefault="00B723CA">
      <w:pPr>
        <w:tabs>
          <w:tab w:val="left" w:pos="448"/>
        </w:tabs>
        <w:spacing w:line="360" w:lineRule="auto"/>
      </w:pPr>
      <w:r>
        <w:t>……………………………………………………………………………………………………………</w:t>
      </w:r>
    </w:p>
    <w:p w:rsidR="00B723CA" w:rsidRDefault="00B723CA">
      <w:pPr>
        <w:tabs>
          <w:tab w:val="left" w:pos="448"/>
        </w:tabs>
        <w:spacing w:line="360" w:lineRule="auto"/>
      </w:pPr>
      <w:r>
        <w:t>……………………………………………………………………………………………………………</w:t>
      </w:r>
    </w:p>
    <w:sectPr w:rsidR="00B723CA" w:rsidSect="00B723CA">
      <w:headerReference w:type="default" r:id="rId11"/>
      <w:footerReference w:type="default" r:id="rId12"/>
      <w:pgSz w:w="11905" w:h="16837" w:code="9"/>
      <w:pgMar w:top="1418" w:right="1418" w:bottom="1418" w:left="1418" w:header="709" w:footer="57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3CA" w:rsidRDefault="00B723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723CA" w:rsidRDefault="00B723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‚l‚r SVb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3CA" w:rsidRDefault="00B723CA">
    <w:pPr>
      <w:pStyle w:val="Footer"/>
      <w:pBdr>
        <w:top w:val="single" w:sz="4" w:space="1" w:color="auto"/>
      </w:pBdr>
      <w:spacing w:line="240" w:lineRule="auto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3CA" w:rsidRDefault="00B723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723CA" w:rsidRDefault="00B723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3CA" w:rsidRDefault="00B723CA">
    <w:pPr>
      <w:pStyle w:val="Header"/>
      <w:tabs>
        <w:tab w:val="clear" w:pos="4818"/>
        <w:tab w:val="center" w:pos="4536"/>
        <w:tab w:val="left" w:pos="5954"/>
      </w:tabs>
      <w:spacing w:line="240" w:lineRule="auto"/>
      <w:ind w:left="3686" w:hanging="3686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C54E1"/>
    <w:multiLevelType w:val="hybridMultilevel"/>
    <w:tmpl w:val="69263EA8"/>
    <w:lvl w:ilvl="0" w:tplc="45D203A2">
      <w:start w:val="1"/>
      <w:numFmt w:val="decimal"/>
      <w:pStyle w:val="NadpisAd"/>
      <w:lvlText w:val="Ad. 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45A47109"/>
    <w:multiLevelType w:val="multilevel"/>
    <w:tmpl w:val="E75A060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8" w:hanging="578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2">
    <w:nsid w:val="4F3A38A2"/>
    <w:multiLevelType w:val="multilevel"/>
    <w:tmpl w:val="31AABF2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860" w:hanging="576"/>
      </w:pPr>
      <w:rPr>
        <w:rFonts w:ascii="Times New Roman" w:hAnsi="Times New Roman" w:cs="Times New Roman"/>
        <w:color w:val="00000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Times New Roman" w:hAnsi="Times New Roman" w:cs="Times New Roman"/>
        <w:color w:val="00000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3">
    <w:nsid w:val="53C74E6F"/>
    <w:multiLevelType w:val="multilevel"/>
    <w:tmpl w:val="EBA2649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4">
    <w:nsid w:val="6D7D35EE"/>
    <w:multiLevelType w:val="multilevel"/>
    <w:tmpl w:val="4052053C"/>
    <w:lvl w:ilvl="0">
      <w:start w:val="1"/>
      <w:numFmt w:val="decimal"/>
      <w:lvlText w:val="Ad %1."/>
      <w:lvlJc w:val="left"/>
      <w:pPr>
        <w:tabs>
          <w:tab w:val="num" w:pos="794"/>
        </w:tabs>
        <w:ind w:left="794" w:hanging="794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0"/>
  </w:num>
  <w:num w:numId="10">
    <w:abstractNumId w:val="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3CA"/>
    <w:rsid w:val="00B72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spacing w:line="276" w:lineRule="auto"/>
      <w:jc w:val="both"/>
    </w:pPr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numPr>
        <w:numId w:val="19"/>
      </w:numPr>
      <w:spacing w:before="480" w:after="240"/>
      <w:outlineLvl w:val="0"/>
    </w:pPr>
    <w:rPr>
      <w:rFonts w:ascii="Cambria" w:hAnsi="Cambria" w:cs="Cambria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numPr>
        <w:ilvl w:val="1"/>
        <w:numId w:val="19"/>
      </w:numPr>
      <w:spacing w:before="360"/>
      <w:outlineLvl w:val="1"/>
    </w:pPr>
    <w:rPr>
      <w:b/>
      <w:b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numPr>
        <w:ilvl w:val="2"/>
        <w:numId w:val="19"/>
      </w:numPr>
      <w:spacing w:before="240" w:after="120"/>
      <w:outlineLvl w:val="2"/>
    </w:pPr>
    <w:rPr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numPr>
        <w:ilvl w:val="3"/>
        <w:numId w:val="19"/>
      </w:numPr>
      <w:spacing w:before="240" w:after="60"/>
      <w:outlineLvl w:val="3"/>
    </w:pPr>
    <w:rPr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keepLines/>
      <w:numPr>
        <w:ilvl w:val="4"/>
        <w:numId w:val="19"/>
      </w:numPr>
      <w:spacing w:before="200" w:after="60"/>
      <w:outlineLvl w:val="4"/>
    </w:pPr>
    <w:rPr>
      <w:color w:val="00000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keepLines/>
      <w:numPr>
        <w:ilvl w:val="5"/>
        <w:numId w:val="19"/>
      </w:numPr>
      <w:spacing w:before="200" w:after="60"/>
      <w:outlineLvl w:val="5"/>
    </w:pPr>
    <w:rPr>
      <w:rFonts w:ascii="Cambria" w:hAnsi="Cambria" w:cs="Cambria"/>
      <w:i/>
      <w:iCs/>
      <w:color w:val="00000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keepLines/>
      <w:numPr>
        <w:ilvl w:val="6"/>
        <w:numId w:val="19"/>
      </w:numPr>
      <w:spacing w:before="200" w:after="6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keepLines/>
      <w:numPr>
        <w:ilvl w:val="7"/>
        <w:numId w:val="19"/>
      </w:numPr>
      <w:spacing w:before="200" w:after="60"/>
      <w:outlineLvl w:val="7"/>
    </w:pPr>
    <w:rPr>
      <w:rFonts w:ascii="Cambria" w:hAnsi="Cambria" w:cs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keepLines/>
      <w:numPr>
        <w:ilvl w:val="8"/>
        <w:numId w:val="19"/>
      </w:numPr>
      <w:spacing w:before="200" w:after="60"/>
      <w:outlineLvl w:val="8"/>
    </w:pPr>
    <w:rPr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color w:val="000000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Arial" w:hAnsi="Arial" w:cs="Arial"/>
      <w:b/>
      <w:bCs/>
      <w:color w:val="00000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Arial" w:hAnsi="Arial" w:cs="Arial"/>
      <w:b/>
      <w:bCs/>
      <w:color w:val="000000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Arial" w:hAnsi="Arial" w:cs="Arial"/>
      <w:b/>
      <w:bCs/>
      <w:i/>
      <w:iCs/>
      <w:color w:val="000000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Pr>
      <w:rFonts w:ascii="Arial" w:hAnsi="Arial" w:cs="Arial"/>
      <w:color w:val="000000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Cambria" w:hAnsi="Cambria" w:cs="Cambria"/>
      <w:i/>
      <w:iCs/>
      <w:color w:val="000000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Pr>
      <w:rFonts w:ascii="Arial" w:hAnsi="Arial" w:cs="Arial"/>
      <w:i/>
      <w:iCs/>
      <w:color w:val="auto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Pr>
      <w:rFonts w:ascii="Cambria" w:hAnsi="Cambria" w:cs="Cambria"/>
      <w:color w:val="auto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Pr>
      <w:rFonts w:ascii="Arial" w:hAnsi="Arial" w:cs="Arial"/>
      <w:i/>
      <w:iCs/>
      <w:color w:val="000000"/>
      <w:lang w:eastAsia="en-US"/>
    </w:rPr>
  </w:style>
  <w:style w:type="paragraph" w:customStyle="1" w:styleId="Nadpis">
    <w:name w:val="Nadpis"/>
    <w:basedOn w:val="Normal"/>
    <w:uiPriority w:val="99"/>
    <w:pPr>
      <w:tabs>
        <w:tab w:val="left" w:pos="360"/>
      </w:tabs>
      <w:spacing w:before="240" w:after="120"/>
      <w:jc w:val="center"/>
    </w:pPr>
    <w:rPr>
      <w:b/>
      <w:bCs/>
      <w:sz w:val="36"/>
      <w:szCs w:val="36"/>
      <w:lang w:eastAsia="cs-CZ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Pr>
      <w:rFonts w:ascii="Arial" w:hAnsi="Arial" w:cs="Arial"/>
      <w:lang w:eastAsia="en-US"/>
    </w:rPr>
  </w:style>
  <w:style w:type="paragraph" w:styleId="List">
    <w:name w:val="List"/>
    <w:basedOn w:val="BodyText"/>
    <w:uiPriority w:val="99"/>
  </w:style>
  <w:style w:type="paragraph" w:customStyle="1" w:styleId="Popisek">
    <w:name w:val="Popisek"/>
    <w:basedOn w:val="Normal"/>
    <w:uiPriority w:val="9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al"/>
    <w:uiPriority w:val="99"/>
    <w:pPr>
      <w:suppressLineNumbers/>
    </w:p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818"/>
        <w:tab w:val="right" w:pos="9637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paragraph" w:customStyle="1" w:styleId="Obsahtabulky">
    <w:name w:val="Obsah tabulky"/>
    <w:basedOn w:val="Normal"/>
    <w:uiPriority w:val="99"/>
    <w:pPr>
      <w:suppressLineNumbers/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818"/>
        <w:tab w:val="right" w:pos="9637"/>
      </w:tabs>
    </w:pPr>
    <w:rPr>
      <w:kern w:val="1"/>
      <w:sz w:val="24"/>
      <w:szCs w:val="24"/>
      <w:lang w:eastAsia="cs-CZ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kern w:val="1"/>
      <w:sz w:val="24"/>
      <w:szCs w:val="24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auto"/>
      </w:pBdr>
      <w:spacing w:after="300" w:line="240" w:lineRule="auto"/>
    </w:pPr>
    <w:rPr>
      <w:rFonts w:ascii="Cambria" w:hAnsi="Cambria" w:cs="Cambria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Dolnindex">
    <w:name w:val="Dolní index"/>
    <w:uiPriority w:val="99"/>
    <w:rPr>
      <w:rFonts w:ascii="Times New Roman" w:hAnsi="Times New Roman" w:cs="Times New Roman"/>
      <w:vertAlign w:val="subscript"/>
    </w:rPr>
  </w:style>
  <w:style w:type="character" w:customStyle="1" w:styleId="Hornindex">
    <w:name w:val="Horní index"/>
    <w:uiPriority w:val="99"/>
    <w:rPr>
      <w:rFonts w:ascii="Times New Roman" w:hAnsi="Times New Roman" w:cs="Times New Roman"/>
      <w:vertAlign w:val="superscript"/>
    </w:rPr>
  </w:style>
  <w:style w:type="paragraph" w:customStyle="1" w:styleId="N15">
    <w:name w:val="N_1_5"/>
    <w:basedOn w:val="Normal"/>
    <w:uiPriority w:val="99"/>
    <w:pPr>
      <w:spacing w:line="360" w:lineRule="auto"/>
    </w:pPr>
  </w:style>
  <w:style w:type="paragraph" w:customStyle="1" w:styleId="N156b">
    <w:name w:val="N_1_5 6 b"/>
    <w:basedOn w:val="Normal"/>
    <w:uiPriority w:val="99"/>
    <w:pPr>
      <w:spacing w:before="120" w:line="360" w:lineRule="auto"/>
    </w:pPr>
  </w:style>
  <w:style w:type="paragraph" w:customStyle="1" w:styleId="N156bodsazeny">
    <w:name w:val="N_1_5 6 b odsazeny"/>
    <w:basedOn w:val="Normal"/>
    <w:uiPriority w:val="99"/>
    <w:pPr>
      <w:spacing w:before="120" w:line="360" w:lineRule="auto"/>
      <w:ind w:firstLine="357"/>
    </w:pPr>
  </w:style>
  <w:style w:type="paragraph" w:customStyle="1" w:styleId="N15odsazen">
    <w:name w:val="N_1_5 odsazený"/>
    <w:basedOn w:val="Normal"/>
    <w:uiPriority w:val="99"/>
    <w:pPr>
      <w:spacing w:line="360" w:lineRule="auto"/>
      <w:ind w:firstLine="357"/>
    </w:pPr>
  </w:style>
  <w:style w:type="paragraph" w:customStyle="1" w:styleId="NadpisA">
    <w:name w:val="Nadpis A"/>
    <w:basedOn w:val="Heading1"/>
    <w:next w:val="Normal"/>
    <w:uiPriority w:val="99"/>
  </w:style>
  <w:style w:type="paragraph" w:customStyle="1" w:styleId="NadpisAd">
    <w:name w:val="Nadpis Ad"/>
    <w:basedOn w:val="Heading1"/>
    <w:uiPriority w:val="99"/>
    <w:pPr>
      <w:numPr>
        <w:numId w:val="9"/>
      </w:numPr>
      <w:spacing w:before="240" w:after="120"/>
    </w:pPr>
  </w:style>
  <w:style w:type="paragraph" w:customStyle="1" w:styleId="NadpisVH">
    <w:name w:val="Nadpis VH"/>
    <w:basedOn w:val="Heading1"/>
    <w:next w:val="Normal"/>
    <w:uiPriority w:val="99"/>
    <w:rPr>
      <w:sz w:val="24"/>
      <w:szCs w:val="24"/>
    </w:rPr>
  </w:style>
  <w:style w:type="paragraph" w:customStyle="1" w:styleId="Normln-6b">
    <w:name w:val="Normální - 6b"/>
    <w:basedOn w:val="Normal"/>
    <w:uiPriority w:val="99"/>
    <w:pPr>
      <w:spacing w:before="120"/>
    </w:pPr>
  </w:style>
  <w:style w:type="paragraph" w:styleId="NormalIndent">
    <w:name w:val="Normal Indent"/>
    <w:basedOn w:val="Normal"/>
    <w:uiPriority w:val="99"/>
    <w:pPr>
      <w:ind w:left="708"/>
    </w:pPr>
  </w:style>
  <w:style w:type="paragraph" w:customStyle="1" w:styleId="Normln-odsazen">
    <w:name w:val="Normální - odsazený"/>
    <w:basedOn w:val="NormalIndent"/>
    <w:uiPriority w:val="99"/>
    <w:pPr>
      <w:ind w:left="0" w:firstLine="284"/>
    </w:pPr>
  </w:style>
  <w:style w:type="paragraph" w:customStyle="1" w:styleId="Normln6b-odsazen">
    <w:name w:val="Normální 6b - odsazený"/>
    <w:basedOn w:val="Normal"/>
    <w:uiPriority w:val="99"/>
    <w:pPr>
      <w:spacing w:before="120"/>
      <w:ind w:firstLine="284"/>
    </w:pPr>
  </w:style>
  <w:style w:type="paragraph" w:customStyle="1" w:styleId="PodpisA">
    <w:name w:val="Podpis A"/>
    <w:basedOn w:val="Normal"/>
    <w:next w:val="Normal"/>
    <w:uiPriority w:val="99"/>
    <w:pPr>
      <w:ind w:left="5529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714" w:hanging="357"/>
    </w:pPr>
    <w:rPr>
      <w:rFonts w:ascii="Cambria" w:hAnsi="Cambria" w:cs="Cambria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mbria" w:hAnsi="Cambria" w:cs="Cambria"/>
      <w:i/>
      <w:iCs/>
      <w:color w:val="auto"/>
      <w:spacing w:val="15"/>
      <w:sz w:val="24"/>
      <w:szCs w:val="24"/>
      <w:lang w:eastAsia="en-US"/>
    </w:rPr>
  </w:style>
  <w:style w:type="paragraph" w:styleId="NoSpacing">
    <w:name w:val="No Spacing"/>
    <w:uiPriority w:val="99"/>
    <w:qFormat/>
    <w:pPr>
      <w:spacing w:line="276" w:lineRule="auto"/>
    </w:pPr>
    <w:rPr>
      <w:rFonts w:ascii="Arial" w:hAnsi="Arial" w:cs="Arial"/>
      <w:lang w:eastAsia="en-US"/>
    </w:rPr>
  </w:style>
  <w:style w:type="character" w:styleId="PlaceholderText">
    <w:name w:val="Placeholder Text"/>
    <w:basedOn w:val="DefaultParagraphFont"/>
    <w:uiPriority w:val="99"/>
    <w:rPr>
      <w:rFonts w:ascii="Times New Roman" w:hAnsi="Times New Roman" w:cs="Times New Roman"/>
      <w:color w:val="808080"/>
    </w:rPr>
  </w:style>
  <w:style w:type="paragraph" w:styleId="BodyText2">
    <w:name w:val="Body Text 2"/>
    <w:basedOn w:val="Normal"/>
    <w:link w:val="BodyText2Char"/>
    <w:uiPriority w:val="99"/>
    <w:pPr>
      <w:spacing w:line="240" w:lineRule="auto"/>
      <w:ind w:right="-10"/>
      <w:jc w:val="left"/>
    </w:pPr>
    <w:rPr>
      <w:b/>
      <w:bCs/>
      <w:color w:val="0000FF"/>
    </w:rPr>
  </w:style>
  <w:style w:type="character" w:customStyle="1" w:styleId="BodyText2Char">
    <w:name w:val="Body Text 2 Char"/>
    <w:basedOn w:val="DefaultParagraphFont"/>
    <w:link w:val="BodyText2"/>
    <w:uiPriority w:val="99"/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rtheldiova@kvarta-chocen.c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0</Words>
  <Characters>0</Characters>
  <Application>Microsoft Office Outlook</Application>
  <DocSecurity>0</DocSecurity>
  <Lines>0</Lines>
  <Paragraphs>0</Paragraphs>
  <ScaleCrop>false</ScaleCrop>
  <Company>KVARTA s.r.o.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Milan Zeman</dc:creator>
  <cp:keywords/>
  <dc:description/>
  <cp:lastModifiedBy>Daněk</cp:lastModifiedBy>
  <cp:revision>12</cp:revision>
  <cp:lastPrinted>2022-08-31T10:19:00Z</cp:lastPrinted>
  <dcterms:created xsi:type="dcterms:W3CDTF">2018-03-20T07:57:00Z</dcterms:created>
  <dcterms:modified xsi:type="dcterms:W3CDTF">2022-08-31T10:19:00Z</dcterms:modified>
</cp:coreProperties>
</file>